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8C5C" w14:textId="77777777" w:rsidR="009E51D9" w:rsidRPr="009E51D9" w:rsidRDefault="009E51D9" w:rsidP="009E51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9E51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Titre III : Dispositions communes (Articles 1565 à 1571)</w:t>
      </w:r>
    </w:p>
    <w:p w14:paraId="6F0D9A88" w14:textId="1E42923F" w:rsidR="009E51D9" w:rsidRDefault="009E51D9" w:rsidP="009E5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Section 1 : De l'homologation judiciaire (Articles 1565 à 1567)</w:t>
      </w:r>
    </w:p>
    <w:p w14:paraId="7AF139C0" w14:textId="77777777" w:rsidR="009E51D9" w:rsidRPr="009E51D9" w:rsidRDefault="009E51D9" w:rsidP="009E51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7EE4FEF" w14:textId="77777777" w:rsidR="009E51D9" w:rsidRPr="009E51D9" w:rsidRDefault="009E51D9" w:rsidP="009E51D9">
      <w:pPr>
        <w:numPr>
          <w:ilvl w:val="1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A5E81"/>
          <w:sz w:val="24"/>
          <w:szCs w:val="24"/>
          <w:lang w:eastAsia="fr-FR"/>
        </w:rPr>
      </w:pPr>
      <w:hyperlink r:id="rId5" w:history="1">
        <w:r w:rsidRPr="009E51D9">
          <w:rPr>
            <w:rFonts w:ascii="Arial" w:eastAsia="Times New Roman" w:hAnsi="Arial" w:cs="Arial"/>
            <w:b/>
            <w:bCs/>
            <w:color w:val="4A5E81"/>
            <w:sz w:val="24"/>
            <w:szCs w:val="24"/>
            <w:u w:val="single"/>
            <w:lang w:eastAsia="fr-FR"/>
          </w:rPr>
          <w:t>Article 1565</w:t>
        </w:r>
      </w:hyperlink>
    </w:p>
    <w:p w14:paraId="0C7D7FD6" w14:textId="77777777" w:rsidR="009E51D9" w:rsidRPr="009E51D9" w:rsidRDefault="009E51D9" w:rsidP="009E51D9">
      <w:pPr>
        <w:shd w:val="clear" w:color="auto" w:fill="FFFFFF"/>
        <w:spacing w:after="75" w:line="240" w:lineRule="auto"/>
        <w:ind w:left="14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hyperlink r:id="rId6" w:history="1">
        <w:r w:rsidRPr="009E51D9">
          <w:rPr>
            <w:rFonts w:ascii="Arial" w:eastAsia="Times New Roman" w:hAnsi="Arial" w:cs="Arial"/>
            <w:b/>
            <w:bCs/>
            <w:color w:val="4A5E81"/>
            <w:sz w:val="24"/>
            <w:szCs w:val="24"/>
            <w:u w:val="single"/>
            <w:lang w:eastAsia="fr-FR"/>
          </w:rPr>
          <w:t>Modifié par Décret n°2022-245 du 25 février 2022 - art. 1</w:t>
        </w:r>
        <w:r w:rsidRPr="009E51D9">
          <w:rPr>
            <w:rFonts w:ascii="Arial" w:eastAsia="Times New Roman" w:hAnsi="Arial" w:cs="Arial"/>
            <w:b/>
            <w:bCs/>
            <w:color w:val="4A5E81"/>
            <w:sz w:val="24"/>
            <w:szCs w:val="24"/>
            <w:u w:val="single"/>
            <w:lang w:eastAsia="fr-FR"/>
          </w:rPr>
          <w:br/>
        </w:r>
      </w:hyperlink>
    </w:p>
    <w:p w14:paraId="459DD988" w14:textId="77777777" w:rsidR="009E51D9" w:rsidRPr="009E51D9" w:rsidRDefault="009E51D9" w:rsidP="009E51D9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L'accord auquel sont parvenues les parties à une médiation, une conciliation ou une procédure participative peut être soumis, aux fins de le rendre exécutoire, à l'homologation du juge compétent pour connaître du contentieux dans la matière considérée.</w:t>
      </w:r>
    </w:p>
    <w:p w14:paraId="53AF175D" w14:textId="77777777" w:rsidR="009E51D9" w:rsidRPr="009E51D9" w:rsidRDefault="009E51D9" w:rsidP="009E51D9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L'accord sur la rémunération du médiateur conclu conformément à l'article 131-13 peut être rendu exécutoire dans les mêmes conditions, à la demande d'une partie ou du médiateur, par le juge qui a ordonné la médiation.</w:t>
      </w:r>
    </w:p>
    <w:p w14:paraId="7F202645" w14:textId="77777777" w:rsidR="009E51D9" w:rsidRPr="009E51D9" w:rsidRDefault="009E51D9" w:rsidP="009E51D9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juge à qui est soumis l'accord ne peut en modifier les termes.</w:t>
      </w:r>
    </w:p>
    <w:p w14:paraId="4E888818" w14:textId="77777777" w:rsidR="009E51D9" w:rsidRPr="009E51D9" w:rsidRDefault="009E51D9" w:rsidP="009E51D9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Conformément à l'article 6 du décret n° 2022-245 du 25 février 2022, ces dispositions entrent en vigueur le lendemain de la publication dudit décret. Toutefois, elles sont applicables aux instances en cours.</w:t>
      </w:r>
    </w:p>
    <w:p w14:paraId="4E211771" w14:textId="77777777" w:rsidR="009E51D9" w:rsidRPr="009E51D9" w:rsidRDefault="009E51D9" w:rsidP="009E51D9">
      <w:pPr>
        <w:numPr>
          <w:ilvl w:val="1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A5E81"/>
          <w:sz w:val="24"/>
          <w:szCs w:val="24"/>
          <w:lang w:eastAsia="fr-FR"/>
        </w:rPr>
      </w:pPr>
      <w:hyperlink r:id="rId7" w:history="1">
        <w:r w:rsidRPr="009E51D9">
          <w:rPr>
            <w:rFonts w:ascii="Arial" w:eastAsia="Times New Roman" w:hAnsi="Arial" w:cs="Arial"/>
            <w:b/>
            <w:bCs/>
            <w:color w:val="4A5E81"/>
            <w:sz w:val="24"/>
            <w:szCs w:val="24"/>
            <w:u w:val="single"/>
            <w:lang w:eastAsia="fr-FR"/>
          </w:rPr>
          <w:t>Article 1566</w:t>
        </w:r>
      </w:hyperlink>
    </w:p>
    <w:p w14:paraId="668D1D12" w14:textId="77777777" w:rsidR="009E51D9" w:rsidRPr="009E51D9" w:rsidRDefault="009E51D9" w:rsidP="009E51D9">
      <w:pPr>
        <w:shd w:val="clear" w:color="auto" w:fill="FFFFFF"/>
        <w:spacing w:beforeAutospacing="1" w:after="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juge statue sur la requête qui lui est présentée sans débat, à moins qu'il n'estime nécessaire d'entendre les parties.</w:t>
      </w: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S'il est fait droit à la requête, tout intéressé peut en référer au juge qui a rendu la décision.</w:t>
      </w: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La décision qui refuse d'homologuer l'accord peut faire l'objet d'un appel. Cet appel est formé par déclaration au greffe de la cour d'appel. Il est jugé selon la procédure gracieuse.</w:t>
      </w:r>
    </w:p>
    <w:p w14:paraId="16396AD8" w14:textId="77777777" w:rsidR="009E51D9" w:rsidRPr="009E51D9" w:rsidRDefault="009E51D9" w:rsidP="009E51D9">
      <w:pPr>
        <w:numPr>
          <w:ilvl w:val="1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A5E81"/>
          <w:sz w:val="24"/>
          <w:szCs w:val="24"/>
          <w:lang w:eastAsia="fr-FR"/>
        </w:rPr>
      </w:pPr>
      <w:hyperlink r:id="rId8" w:history="1">
        <w:r w:rsidRPr="009E51D9">
          <w:rPr>
            <w:rFonts w:ascii="Arial" w:eastAsia="Times New Roman" w:hAnsi="Arial" w:cs="Arial"/>
            <w:b/>
            <w:bCs/>
            <w:color w:val="4A5E81"/>
            <w:sz w:val="24"/>
            <w:szCs w:val="24"/>
            <w:u w:val="single"/>
            <w:lang w:eastAsia="fr-FR"/>
          </w:rPr>
          <w:t>Article 1567</w:t>
        </w:r>
      </w:hyperlink>
    </w:p>
    <w:p w14:paraId="33C48C9A" w14:textId="77777777" w:rsidR="009E51D9" w:rsidRPr="009E51D9" w:rsidRDefault="009E51D9" w:rsidP="009E51D9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E51D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dispositions des articles 1565 et 1566 sont applicables à la transaction conclue sans qu'il ait été recouru à une médiation, une conciliation ou une procédure participative. Le juge est alors saisi par la partie la plus diligente ou l'ensemble des parties à la transaction.</w:t>
      </w:r>
    </w:p>
    <w:p w14:paraId="40437399" w14:textId="77777777" w:rsidR="00401A4E" w:rsidRPr="009E51D9" w:rsidRDefault="009E51D9">
      <w:pPr>
        <w:rPr>
          <w:sz w:val="24"/>
          <w:szCs w:val="24"/>
        </w:rPr>
      </w:pPr>
    </w:p>
    <w:sectPr w:rsidR="00401A4E" w:rsidRPr="009E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52CC"/>
    <w:multiLevelType w:val="multilevel"/>
    <w:tmpl w:val="53D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7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D9"/>
    <w:rsid w:val="00856D4C"/>
    <w:rsid w:val="009023AB"/>
    <w:rsid w:val="009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8F9B"/>
  <w15:chartTrackingRefBased/>
  <w15:docId w15:val="{873EA1D7-10C2-45F1-B56D-28E292C5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1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238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413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45268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452684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loda/id/LEGIARTI000045245987/2022-02-27/" TargetMode="External"/><Relationship Id="rId5" Type="http://schemas.openxmlformats.org/officeDocument/2006/relationships/hyperlink" Target="https://www.legifrance.gouv.fr/codes/article_lc/LEGIARTI0000452684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Grimaldi</dc:creator>
  <cp:keywords/>
  <dc:description/>
  <cp:lastModifiedBy>Karine Grimaldi</cp:lastModifiedBy>
  <cp:revision>1</cp:revision>
  <dcterms:created xsi:type="dcterms:W3CDTF">2022-04-11T14:57:00Z</dcterms:created>
  <dcterms:modified xsi:type="dcterms:W3CDTF">2022-04-11T14:58:00Z</dcterms:modified>
</cp:coreProperties>
</file>