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ABFD" w14:textId="449616E5" w:rsidR="00E14E2C" w:rsidRPr="00E14E2C" w:rsidRDefault="00E14E2C" w:rsidP="00E14E2C">
      <w:pPr>
        <w:pStyle w:val="item-current"/>
        <w:pBdr>
          <w:left w:val="single" w:sz="36" w:space="11" w:color="D51622"/>
        </w:pBdr>
        <w:shd w:val="clear" w:color="auto" w:fill="F5F5F5"/>
        <w:spacing w:before="75" w:beforeAutospacing="0" w:after="75" w:afterAutospacing="0"/>
        <w:rPr>
          <w:rFonts w:ascii="Arial" w:hAnsi="Arial" w:cs="Arial"/>
          <w:color w:val="FF0000"/>
          <w:sz w:val="21"/>
          <w:szCs w:val="21"/>
        </w:rPr>
      </w:pPr>
      <w:r w:rsidRPr="00E14E2C">
        <w:rPr>
          <w:rFonts w:ascii="Arial" w:hAnsi="Arial" w:cs="Arial"/>
          <w:color w:val="FF0000"/>
          <w:sz w:val="21"/>
          <w:szCs w:val="21"/>
        </w:rPr>
        <w:t>CODE CIVIL</w:t>
      </w:r>
    </w:p>
    <w:p w14:paraId="0B703A38" w14:textId="77777777" w:rsidR="00E14E2C" w:rsidRDefault="00E14E2C" w:rsidP="00E14E2C">
      <w:pPr>
        <w:pStyle w:val="item-current"/>
        <w:pBdr>
          <w:left w:val="single" w:sz="36" w:space="11" w:color="D51622"/>
        </w:pBdr>
        <w:shd w:val="clear" w:color="auto" w:fill="F5F5F5"/>
        <w:spacing w:before="75" w:beforeAutospacing="0" w:after="75" w:afterAutospacing="0"/>
        <w:rPr>
          <w:rFonts w:ascii="Arial" w:hAnsi="Arial" w:cs="Arial"/>
          <w:color w:val="000000"/>
          <w:sz w:val="21"/>
          <w:szCs w:val="21"/>
        </w:rPr>
      </w:pPr>
    </w:p>
    <w:p w14:paraId="396C231A" w14:textId="411CDDA8" w:rsidR="00E14E2C" w:rsidRPr="00E14E2C" w:rsidRDefault="00E14E2C" w:rsidP="00E14E2C">
      <w:pPr>
        <w:pStyle w:val="item-current"/>
        <w:pBdr>
          <w:left w:val="single" w:sz="36" w:space="11" w:color="D51622"/>
        </w:pBdr>
        <w:shd w:val="clear" w:color="auto" w:fill="F5F5F5"/>
        <w:spacing w:before="75" w:beforeAutospacing="0" w:after="75" w:afterAutospacing="0"/>
        <w:rPr>
          <w:rFonts w:ascii="Arial" w:hAnsi="Arial" w:cs="Arial"/>
          <w:color w:val="000000"/>
        </w:rPr>
      </w:pPr>
      <w:hyperlink r:id="rId5" w:anchor="LEGISCTA000006118164" w:history="1">
        <w:r w:rsidRPr="00E14E2C">
          <w:rPr>
            <w:rStyle w:val="print-title-summary"/>
            <w:rFonts w:ascii="Arial" w:hAnsi="Arial" w:cs="Arial"/>
            <w:b/>
            <w:bCs/>
            <w:color w:val="4A5E81"/>
            <w:u w:val="single"/>
          </w:rPr>
          <w:t>Titre XV : Des transactions (Articles 2044 à 2052)</w:t>
        </w:r>
      </w:hyperlink>
    </w:p>
    <w:p w14:paraId="048B6AF9" w14:textId="77777777" w:rsidR="00E14E2C" w:rsidRDefault="00E14E2C" w:rsidP="00E14E2C">
      <w:pPr>
        <w:pStyle w:val="name-article"/>
        <w:numPr>
          <w:ilvl w:val="0"/>
          <w:numId w:val="2"/>
        </w:numPr>
        <w:shd w:val="clear" w:color="auto" w:fill="FFFFFF"/>
        <w:spacing w:before="0" w:beforeAutospacing="0" w:after="240" w:afterAutospacing="0"/>
        <w:rPr>
          <w:rFonts w:ascii="Arial" w:hAnsi="Arial" w:cs="Arial"/>
          <w:b/>
          <w:bCs/>
          <w:color w:val="4A5E81"/>
        </w:rPr>
      </w:pPr>
      <w:hyperlink r:id="rId6" w:history="1">
        <w:r>
          <w:rPr>
            <w:rStyle w:val="Lienhypertexte"/>
            <w:rFonts w:ascii="Arial" w:hAnsi="Arial" w:cs="Arial"/>
            <w:b/>
            <w:bCs/>
            <w:color w:val="4A5E81"/>
          </w:rPr>
          <w:t>Article 2044</w:t>
        </w:r>
      </w:hyperlink>
    </w:p>
    <w:p w14:paraId="739393B7" w14:textId="77777777" w:rsidR="00E14E2C" w:rsidRDefault="00E14E2C" w:rsidP="00E14E2C">
      <w:pPr>
        <w:pStyle w:val="date"/>
        <w:shd w:val="clear" w:color="auto" w:fill="FFFFFF"/>
        <w:spacing w:before="0" w:beforeAutospacing="0" w:after="75" w:afterAutospacing="0"/>
        <w:ind w:left="720"/>
        <w:rPr>
          <w:rFonts w:ascii="Arial" w:hAnsi="Arial" w:cs="Arial"/>
          <w:b/>
          <w:bCs/>
          <w:color w:val="000000"/>
        </w:rPr>
      </w:pPr>
      <w:hyperlink r:id="rId7" w:history="1">
        <w:r>
          <w:rPr>
            <w:rStyle w:val="Lienhypertexte"/>
            <w:rFonts w:ascii="Arial" w:hAnsi="Arial" w:cs="Arial"/>
            <w:b/>
            <w:bCs/>
            <w:color w:val="4A5E81"/>
          </w:rPr>
          <w:t>Modifié par LOI n°2016-1547 du 18 novembre 2016 - art. 10</w:t>
        </w:r>
        <w:r>
          <w:rPr>
            <w:rFonts w:ascii="Arial" w:hAnsi="Arial" w:cs="Arial"/>
            <w:b/>
            <w:bCs/>
            <w:color w:val="4A5E81"/>
            <w:u w:val="single"/>
          </w:rPr>
          <w:br/>
        </w:r>
      </w:hyperlink>
    </w:p>
    <w:p w14:paraId="7F96DBB2" w14:textId="77777777" w:rsidR="00E14E2C" w:rsidRDefault="00E14E2C" w:rsidP="00E14E2C">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La transaction est un contrat par lequel les parties, par des concessions réciproques, terminent une contestation née, ou préviennent une contestation à naître.</w:t>
      </w:r>
    </w:p>
    <w:p w14:paraId="5977448F" w14:textId="77777777" w:rsidR="00E14E2C" w:rsidRDefault="00E14E2C" w:rsidP="00E14E2C">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Ce contrat doit être rédigé par écrit.</w:t>
      </w:r>
    </w:p>
    <w:p w14:paraId="14324F5E" w14:textId="77777777" w:rsidR="00E14E2C" w:rsidRDefault="00E14E2C" w:rsidP="00E14E2C">
      <w:pPr>
        <w:pStyle w:val="name-article"/>
        <w:numPr>
          <w:ilvl w:val="0"/>
          <w:numId w:val="2"/>
        </w:numPr>
        <w:shd w:val="clear" w:color="auto" w:fill="FFFFFF"/>
        <w:spacing w:before="0" w:beforeAutospacing="0" w:after="240" w:afterAutospacing="0"/>
        <w:rPr>
          <w:rFonts w:ascii="Arial" w:hAnsi="Arial" w:cs="Arial"/>
          <w:b/>
          <w:bCs/>
          <w:color w:val="4A5E81"/>
        </w:rPr>
      </w:pPr>
      <w:hyperlink r:id="rId8" w:history="1">
        <w:r>
          <w:rPr>
            <w:rStyle w:val="Lienhypertexte"/>
            <w:rFonts w:ascii="Arial" w:hAnsi="Arial" w:cs="Arial"/>
            <w:b/>
            <w:bCs/>
            <w:color w:val="4A5E81"/>
          </w:rPr>
          <w:t>Article 2045</w:t>
        </w:r>
      </w:hyperlink>
    </w:p>
    <w:p w14:paraId="691B9858" w14:textId="77777777" w:rsidR="00E14E2C" w:rsidRDefault="00E14E2C" w:rsidP="00E14E2C">
      <w:pPr>
        <w:pStyle w:val="date"/>
        <w:shd w:val="clear" w:color="auto" w:fill="FFFFFF"/>
        <w:spacing w:before="0" w:beforeAutospacing="0" w:after="75" w:afterAutospacing="0"/>
        <w:ind w:left="720"/>
        <w:rPr>
          <w:rFonts w:ascii="Arial" w:hAnsi="Arial" w:cs="Arial"/>
          <w:b/>
          <w:bCs/>
          <w:color w:val="000000"/>
        </w:rPr>
      </w:pPr>
      <w:hyperlink r:id="rId9" w:history="1">
        <w:r>
          <w:rPr>
            <w:rStyle w:val="Lienhypertexte"/>
            <w:rFonts w:ascii="Arial" w:hAnsi="Arial" w:cs="Arial"/>
            <w:b/>
            <w:bCs/>
            <w:color w:val="4A5E81"/>
          </w:rPr>
          <w:t>Modifié par LOI n°2011-525 du 17 mai 2011 - art. 158</w:t>
        </w:r>
        <w:r>
          <w:rPr>
            <w:rFonts w:ascii="Arial" w:hAnsi="Arial" w:cs="Arial"/>
            <w:b/>
            <w:bCs/>
            <w:color w:val="4A5E81"/>
            <w:u w:val="single"/>
          </w:rPr>
          <w:br/>
        </w:r>
      </w:hyperlink>
    </w:p>
    <w:p w14:paraId="62B067F2" w14:textId="77777777" w:rsidR="00E14E2C" w:rsidRDefault="00E14E2C" w:rsidP="00E14E2C">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Pour transiger, il faut avoir la capacité de disposer des objets compris dans la transaction.</w:t>
      </w:r>
    </w:p>
    <w:p w14:paraId="2490920C" w14:textId="77777777" w:rsidR="00E14E2C" w:rsidRDefault="00E14E2C" w:rsidP="00E14E2C">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Le tuteur ne peut transiger pour le mineur ou le majeur en tutelle que conformément à l'article </w:t>
      </w:r>
      <w:hyperlink r:id="rId10" w:history="1">
        <w:r>
          <w:rPr>
            <w:rStyle w:val="Lienhypertexte"/>
            <w:rFonts w:ascii="Arial" w:hAnsi="Arial" w:cs="Arial"/>
            <w:color w:val="4A5E81"/>
          </w:rPr>
          <w:t>467 </w:t>
        </w:r>
      </w:hyperlink>
      <w:r>
        <w:rPr>
          <w:rFonts w:ascii="Arial" w:hAnsi="Arial" w:cs="Arial"/>
          <w:color w:val="000000"/>
        </w:rPr>
        <w:t>au titre " De la minorité, de la tutelle et de l'émancipation " ; et il ne peut transiger avec le mineur devenu majeur, sur le compte de tutelle, que conformément à l'article </w:t>
      </w:r>
      <w:hyperlink r:id="rId11" w:history="1">
        <w:r>
          <w:rPr>
            <w:rStyle w:val="Lienhypertexte"/>
            <w:rFonts w:ascii="Arial" w:hAnsi="Arial" w:cs="Arial"/>
            <w:color w:val="4A5E81"/>
          </w:rPr>
          <w:t>472</w:t>
        </w:r>
      </w:hyperlink>
      <w:r>
        <w:rPr>
          <w:rFonts w:ascii="Arial" w:hAnsi="Arial" w:cs="Arial"/>
          <w:color w:val="000000"/>
        </w:rPr>
        <w:t> au même titre.</w:t>
      </w:r>
    </w:p>
    <w:p w14:paraId="593F95BF" w14:textId="77777777" w:rsidR="00E14E2C" w:rsidRDefault="00E14E2C" w:rsidP="00E14E2C">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Les établissements publics de l'Etat ne peuvent transiger qu'avec l'autorisation expresse du Premier ministre.</w:t>
      </w:r>
    </w:p>
    <w:p w14:paraId="53E08883" w14:textId="77777777" w:rsidR="00E14E2C" w:rsidRDefault="00E14E2C" w:rsidP="00E14E2C">
      <w:pPr>
        <w:pStyle w:val="name-article"/>
        <w:numPr>
          <w:ilvl w:val="0"/>
          <w:numId w:val="2"/>
        </w:numPr>
        <w:shd w:val="clear" w:color="auto" w:fill="FFFFFF"/>
        <w:spacing w:before="0" w:beforeAutospacing="0" w:after="240" w:afterAutospacing="0"/>
        <w:rPr>
          <w:rFonts w:ascii="Arial" w:hAnsi="Arial" w:cs="Arial"/>
          <w:b/>
          <w:bCs/>
          <w:color w:val="4A5E81"/>
        </w:rPr>
      </w:pPr>
      <w:hyperlink r:id="rId12" w:history="1">
        <w:r>
          <w:rPr>
            <w:rStyle w:val="Lienhypertexte"/>
            <w:rFonts w:ascii="Arial" w:hAnsi="Arial" w:cs="Arial"/>
            <w:b/>
            <w:bCs/>
            <w:color w:val="4A5E81"/>
          </w:rPr>
          <w:t>Article 2046</w:t>
        </w:r>
      </w:hyperlink>
    </w:p>
    <w:p w14:paraId="67E1ED04" w14:textId="77777777" w:rsidR="00E14E2C" w:rsidRDefault="00E14E2C" w:rsidP="00E14E2C">
      <w:pPr>
        <w:pStyle w:val="date"/>
        <w:shd w:val="clear" w:color="auto" w:fill="FFFFFF"/>
        <w:spacing w:before="0" w:beforeAutospacing="0" w:after="75" w:afterAutospacing="0"/>
        <w:ind w:left="720"/>
        <w:rPr>
          <w:rFonts w:ascii="Arial" w:hAnsi="Arial" w:cs="Arial"/>
          <w:b/>
          <w:bCs/>
          <w:color w:val="000000"/>
        </w:rPr>
      </w:pPr>
      <w:r>
        <w:rPr>
          <w:rFonts w:ascii="Arial" w:hAnsi="Arial" w:cs="Arial"/>
          <w:b/>
          <w:bCs/>
          <w:color w:val="000000"/>
        </w:rPr>
        <w:t>Création Loi 1804-03-20 promulguée le 30 mars 1804</w:t>
      </w:r>
    </w:p>
    <w:p w14:paraId="614EB414" w14:textId="77777777" w:rsidR="00E14E2C" w:rsidRDefault="00E14E2C" w:rsidP="00E14E2C">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On peut transiger sur l'intérêt civil qui résulte d'un délit.</w:t>
      </w:r>
    </w:p>
    <w:p w14:paraId="235F463F" w14:textId="77777777" w:rsidR="00E14E2C" w:rsidRDefault="00E14E2C" w:rsidP="00E14E2C">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La transaction n'empêche pas la poursuite du ministère public.</w:t>
      </w:r>
    </w:p>
    <w:p w14:paraId="6CB082B9" w14:textId="61F8062A" w:rsidR="00E14E2C" w:rsidRPr="00E14E2C" w:rsidRDefault="00E14E2C" w:rsidP="00E82878">
      <w:pPr>
        <w:pStyle w:val="name-article"/>
        <w:numPr>
          <w:ilvl w:val="0"/>
          <w:numId w:val="2"/>
        </w:numPr>
        <w:shd w:val="clear" w:color="auto" w:fill="FFFFFF"/>
        <w:spacing w:before="0" w:beforeAutospacing="0" w:after="240" w:afterAutospacing="0"/>
        <w:rPr>
          <w:rFonts w:ascii="Arial" w:hAnsi="Arial" w:cs="Arial"/>
          <w:b/>
          <w:bCs/>
          <w:color w:val="4A5E81"/>
        </w:rPr>
      </w:pPr>
      <w:r w:rsidRPr="00E14E2C">
        <w:rPr>
          <w:rFonts w:ascii="Arial" w:hAnsi="Arial" w:cs="Arial"/>
          <w:b/>
          <w:bCs/>
          <w:color w:val="4A5E81"/>
        </w:rPr>
        <w:t> </w:t>
      </w:r>
      <w:hyperlink r:id="rId13" w:history="1">
        <w:r w:rsidRPr="00E14E2C">
          <w:rPr>
            <w:rStyle w:val="Lienhypertexte"/>
            <w:rFonts w:ascii="Arial" w:hAnsi="Arial" w:cs="Arial"/>
            <w:b/>
            <w:bCs/>
            <w:color w:val="4A5E81"/>
          </w:rPr>
          <w:t>Article 2048</w:t>
        </w:r>
      </w:hyperlink>
    </w:p>
    <w:p w14:paraId="4A93EE50" w14:textId="77777777" w:rsidR="00E14E2C" w:rsidRDefault="00E14E2C" w:rsidP="00E14E2C">
      <w:pPr>
        <w:pStyle w:val="date"/>
        <w:shd w:val="clear" w:color="auto" w:fill="FFFFFF"/>
        <w:spacing w:before="0" w:beforeAutospacing="0" w:after="75" w:afterAutospacing="0"/>
        <w:ind w:left="720"/>
        <w:rPr>
          <w:rFonts w:ascii="Arial" w:hAnsi="Arial" w:cs="Arial"/>
          <w:b/>
          <w:bCs/>
          <w:color w:val="000000"/>
        </w:rPr>
      </w:pPr>
      <w:r>
        <w:rPr>
          <w:rFonts w:ascii="Arial" w:hAnsi="Arial" w:cs="Arial"/>
          <w:b/>
          <w:bCs/>
          <w:color w:val="000000"/>
        </w:rPr>
        <w:t>Création Loi 1804-03-20 promulguée le 30 mars 1804</w:t>
      </w:r>
    </w:p>
    <w:p w14:paraId="282A5DB0" w14:textId="77777777" w:rsidR="00E14E2C" w:rsidRDefault="00E14E2C" w:rsidP="00E14E2C">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Les transactions se renferment dans leur objet : la renonciation qui y est faite à tous droits, actions et prétentions, ne s'entend que de ce qui est relatif au différend qui y a donné lieu.</w:t>
      </w:r>
    </w:p>
    <w:p w14:paraId="7AC720C0" w14:textId="77777777" w:rsidR="00E14E2C" w:rsidRDefault="00E14E2C" w:rsidP="00E14E2C">
      <w:pPr>
        <w:pStyle w:val="name-article"/>
        <w:numPr>
          <w:ilvl w:val="0"/>
          <w:numId w:val="2"/>
        </w:numPr>
        <w:shd w:val="clear" w:color="auto" w:fill="FFFFFF"/>
        <w:spacing w:before="0" w:beforeAutospacing="0" w:after="240" w:afterAutospacing="0"/>
        <w:rPr>
          <w:rFonts w:ascii="Arial" w:hAnsi="Arial" w:cs="Arial"/>
          <w:b/>
          <w:bCs/>
          <w:color w:val="4A5E81"/>
        </w:rPr>
      </w:pPr>
      <w:hyperlink r:id="rId14" w:history="1">
        <w:r>
          <w:rPr>
            <w:rStyle w:val="Lienhypertexte"/>
            <w:rFonts w:ascii="Arial" w:hAnsi="Arial" w:cs="Arial"/>
            <w:b/>
            <w:bCs/>
            <w:color w:val="4A5E81"/>
          </w:rPr>
          <w:t>Article 2049</w:t>
        </w:r>
      </w:hyperlink>
    </w:p>
    <w:p w14:paraId="4440619B" w14:textId="77777777" w:rsidR="00E14E2C" w:rsidRDefault="00E14E2C" w:rsidP="00E14E2C">
      <w:pPr>
        <w:pStyle w:val="date"/>
        <w:shd w:val="clear" w:color="auto" w:fill="FFFFFF"/>
        <w:spacing w:before="0" w:beforeAutospacing="0" w:after="75" w:afterAutospacing="0"/>
        <w:ind w:left="720"/>
        <w:rPr>
          <w:rFonts w:ascii="Arial" w:hAnsi="Arial" w:cs="Arial"/>
          <w:b/>
          <w:bCs/>
          <w:color w:val="000000"/>
        </w:rPr>
      </w:pPr>
      <w:r>
        <w:rPr>
          <w:rFonts w:ascii="Arial" w:hAnsi="Arial" w:cs="Arial"/>
          <w:b/>
          <w:bCs/>
          <w:color w:val="000000"/>
        </w:rPr>
        <w:t>Création Loi 1804-03-20 promulguée le 30 mars 1804</w:t>
      </w:r>
    </w:p>
    <w:p w14:paraId="74ED5AE3" w14:textId="77777777" w:rsidR="00E14E2C" w:rsidRDefault="00E14E2C" w:rsidP="00E14E2C">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Les transactions ne règlent que les différends qui s'y trouvent compris, soit que les parties aient manifesté leur intention par des expressions spéciales ou générales, soit que l'on reconnaisse cette intention par une suite nécessaire de ce qui est exprimé.</w:t>
      </w:r>
    </w:p>
    <w:p w14:paraId="222E1780" w14:textId="77777777" w:rsidR="00E14E2C" w:rsidRDefault="00E14E2C" w:rsidP="00E14E2C">
      <w:pPr>
        <w:pStyle w:val="name-article"/>
        <w:numPr>
          <w:ilvl w:val="0"/>
          <w:numId w:val="2"/>
        </w:numPr>
        <w:shd w:val="clear" w:color="auto" w:fill="FFFFFF"/>
        <w:spacing w:before="0" w:beforeAutospacing="0" w:after="240" w:afterAutospacing="0"/>
        <w:rPr>
          <w:rFonts w:ascii="Arial" w:hAnsi="Arial" w:cs="Arial"/>
          <w:b/>
          <w:bCs/>
          <w:color w:val="4A5E81"/>
        </w:rPr>
      </w:pPr>
      <w:hyperlink r:id="rId15" w:history="1">
        <w:r>
          <w:rPr>
            <w:rStyle w:val="Lienhypertexte"/>
            <w:rFonts w:ascii="Arial" w:hAnsi="Arial" w:cs="Arial"/>
            <w:b/>
            <w:bCs/>
            <w:color w:val="4A5E81"/>
          </w:rPr>
          <w:t>Article 2050</w:t>
        </w:r>
      </w:hyperlink>
    </w:p>
    <w:p w14:paraId="5D483BB3" w14:textId="77777777" w:rsidR="00E14E2C" w:rsidRDefault="00E14E2C" w:rsidP="00E14E2C">
      <w:pPr>
        <w:pStyle w:val="date"/>
        <w:shd w:val="clear" w:color="auto" w:fill="FFFFFF"/>
        <w:spacing w:before="0" w:beforeAutospacing="0" w:after="75" w:afterAutospacing="0"/>
        <w:ind w:left="720"/>
        <w:rPr>
          <w:rFonts w:ascii="Arial" w:hAnsi="Arial" w:cs="Arial"/>
          <w:b/>
          <w:bCs/>
          <w:color w:val="000000"/>
        </w:rPr>
      </w:pPr>
      <w:r>
        <w:rPr>
          <w:rFonts w:ascii="Arial" w:hAnsi="Arial" w:cs="Arial"/>
          <w:b/>
          <w:bCs/>
          <w:color w:val="000000"/>
        </w:rPr>
        <w:t>Création Loi 1804-03-20 promulguée le 30 mars 1804</w:t>
      </w:r>
    </w:p>
    <w:p w14:paraId="372736B1" w14:textId="77777777" w:rsidR="00E14E2C" w:rsidRDefault="00E14E2C" w:rsidP="00E14E2C">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Si celui qui avait transigé sur un droit qu'il avait de son chef acquiert ensuite un droit semblable du chef d'une autre personne, il n'est point, quant au droit nouvellement acquis, lié par la transaction antérieure.</w:t>
      </w:r>
    </w:p>
    <w:p w14:paraId="5A366909" w14:textId="77777777" w:rsidR="00E14E2C" w:rsidRDefault="00E14E2C" w:rsidP="00E14E2C">
      <w:pPr>
        <w:pStyle w:val="name-article"/>
        <w:numPr>
          <w:ilvl w:val="0"/>
          <w:numId w:val="2"/>
        </w:numPr>
        <w:shd w:val="clear" w:color="auto" w:fill="FFFFFF"/>
        <w:spacing w:before="0" w:beforeAutospacing="0" w:after="240" w:afterAutospacing="0"/>
        <w:rPr>
          <w:rFonts w:ascii="Arial" w:hAnsi="Arial" w:cs="Arial"/>
          <w:b/>
          <w:bCs/>
          <w:color w:val="4A5E81"/>
        </w:rPr>
      </w:pPr>
      <w:hyperlink r:id="rId16" w:history="1">
        <w:r>
          <w:rPr>
            <w:rStyle w:val="Lienhypertexte"/>
            <w:rFonts w:ascii="Arial" w:hAnsi="Arial" w:cs="Arial"/>
            <w:b/>
            <w:bCs/>
            <w:color w:val="4A5E81"/>
          </w:rPr>
          <w:t>Article 2051</w:t>
        </w:r>
      </w:hyperlink>
    </w:p>
    <w:p w14:paraId="74685F99" w14:textId="77777777" w:rsidR="00E14E2C" w:rsidRDefault="00E14E2C" w:rsidP="00E14E2C">
      <w:pPr>
        <w:pStyle w:val="date"/>
        <w:shd w:val="clear" w:color="auto" w:fill="FFFFFF"/>
        <w:spacing w:before="0" w:beforeAutospacing="0" w:after="75" w:afterAutospacing="0"/>
        <w:ind w:left="720"/>
        <w:rPr>
          <w:rFonts w:ascii="Arial" w:hAnsi="Arial" w:cs="Arial"/>
          <w:b/>
          <w:bCs/>
          <w:color w:val="000000"/>
        </w:rPr>
      </w:pPr>
      <w:r>
        <w:rPr>
          <w:rFonts w:ascii="Arial" w:hAnsi="Arial" w:cs="Arial"/>
          <w:b/>
          <w:bCs/>
          <w:color w:val="000000"/>
        </w:rPr>
        <w:t>Création Loi 1804-03-20 promulguée le 30 mars 1804</w:t>
      </w:r>
    </w:p>
    <w:p w14:paraId="63286EE9" w14:textId="77777777" w:rsidR="00E14E2C" w:rsidRDefault="00E14E2C" w:rsidP="00E14E2C">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La transaction faite par l'un des intéressés ne lie point les autres intéressés et ne peut être opposée par eux.</w:t>
      </w:r>
    </w:p>
    <w:p w14:paraId="59F5E82A" w14:textId="77777777" w:rsidR="00E14E2C" w:rsidRDefault="00E14E2C" w:rsidP="00E14E2C">
      <w:pPr>
        <w:pStyle w:val="name-article"/>
        <w:numPr>
          <w:ilvl w:val="0"/>
          <w:numId w:val="2"/>
        </w:numPr>
        <w:shd w:val="clear" w:color="auto" w:fill="FFFFFF"/>
        <w:spacing w:before="0" w:beforeAutospacing="0" w:after="240" w:afterAutospacing="0"/>
        <w:rPr>
          <w:rFonts w:ascii="Arial" w:hAnsi="Arial" w:cs="Arial"/>
          <w:b/>
          <w:bCs/>
          <w:color w:val="4A5E81"/>
        </w:rPr>
      </w:pPr>
      <w:hyperlink r:id="rId17" w:history="1">
        <w:r>
          <w:rPr>
            <w:rStyle w:val="Lienhypertexte"/>
            <w:rFonts w:ascii="Arial" w:hAnsi="Arial" w:cs="Arial"/>
            <w:b/>
            <w:bCs/>
            <w:color w:val="4A5E81"/>
          </w:rPr>
          <w:t>Article 2052</w:t>
        </w:r>
      </w:hyperlink>
    </w:p>
    <w:p w14:paraId="49D8763D" w14:textId="77777777" w:rsidR="00E14E2C" w:rsidRDefault="00E14E2C" w:rsidP="00E14E2C">
      <w:pPr>
        <w:pStyle w:val="date"/>
        <w:shd w:val="clear" w:color="auto" w:fill="FFFFFF"/>
        <w:spacing w:before="0" w:beforeAutospacing="0" w:after="75" w:afterAutospacing="0"/>
        <w:ind w:left="720"/>
        <w:rPr>
          <w:rFonts w:ascii="Arial" w:hAnsi="Arial" w:cs="Arial"/>
          <w:b/>
          <w:bCs/>
          <w:color w:val="000000"/>
        </w:rPr>
      </w:pPr>
      <w:hyperlink r:id="rId18" w:history="1">
        <w:r>
          <w:rPr>
            <w:rStyle w:val="Lienhypertexte"/>
            <w:rFonts w:ascii="Arial" w:hAnsi="Arial" w:cs="Arial"/>
            <w:b/>
            <w:bCs/>
            <w:color w:val="4A5E81"/>
          </w:rPr>
          <w:t>Modifié par LOI n°2016-1547 du 18 novembre 2016 - art. 10</w:t>
        </w:r>
        <w:r>
          <w:rPr>
            <w:rFonts w:ascii="Arial" w:hAnsi="Arial" w:cs="Arial"/>
            <w:b/>
            <w:bCs/>
            <w:color w:val="4A5E81"/>
            <w:u w:val="single"/>
          </w:rPr>
          <w:br/>
        </w:r>
      </w:hyperlink>
    </w:p>
    <w:p w14:paraId="103CD9FB" w14:textId="77777777" w:rsidR="00E14E2C" w:rsidRDefault="00E14E2C" w:rsidP="00E14E2C">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La transaction fait obstacle à l'introduction ou à la poursuite entre les parties d'une action en justice ayant le même objet.</w:t>
      </w:r>
    </w:p>
    <w:p w14:paraId="14A1E39B" w14:textId="77777777" w:rsidR="00401A4E" w:rsidRDefault="00E14E2C"/>
    <w:sectPr w:rsidR="00401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C4446"/>
    <w:multiLevelType w:val="multilevel"/>
    <w:tmpl w:val="E40068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75BD2"/>
    <w:multiLevelType w:val="multilevel"/>
    <w:tmpl w:val="9D5EBFA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9394218">
    <w:abstractNumId w:val="1"/>
  </w:num>
  <w:num w:numId="2" w16cid:durableId="174753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2C"/>
    <w:rsid w:val="00856D4C"/>
    <w:rsid w:val="009023AB"/>
    <w:rsid w:val="00E14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B6C7"/>
  <w15:chartTrackingRefBased/>
  <w15:docId w15:val="{999DAE6B-F0FD-4632-BFCD-B8613C70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pened">
    <w:name w:val="opened"/>
    <w:basedOn w:val="Normal"/>
    <w:rsid w:val="00E14E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current">
    <w:name w:val="item-current"/>
    <w:basedOn w:val="Normal"/>
    <w:rsid w:val="00E14E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14E2C"/>
    <w:rPr>
      <w:color w:val="0000FF"/>
      <w:u w:val="single"/>
    </w:rPr>
  </w:style>
  <w:style w:type="character" w:customStyle="1" w:styleId="print-title-summary">
    <w:name w:val="print-title-summary"/>
    <w:basedOn w:val="Policepardfaut"/>
    <w:rsid w:val="00E14E2C"/>
  </w:style>
  <w:style w:type="paragraph" w:customStyle="1" w:styleId="name-article">
    <w:name w:val="name-article"/>
    <w:basedOn w:val="Normal"/>
    <w:rsid w:val="00E14E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
    <w:name w:val="date"/>
    <w:basedOn w:val="Normal"/>
    <w:rsid w:val="00E14E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E14E2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140570">
      <w:bodyDiv w:val="1"/>
      <w:marLeft w:val="0"/>
      <w:marRight w:val="0"/>
      <w:marTop w:val="0"/>
      <w:marBottom w:val="0"/>
      <w:divBdr>
        <w:top w:val="none" w:sz="0" w:space="0" w:color="auto"/>
        <w:left w:val="none" w:sz="0" w:space="0" w:color="auto"/>
        <w:bottom w:val="none" w:sz="0" w:space="0" w:color="auto"/>
        <w:right w:val="none" w:sz="0" w:space="0" w:color="auto"/>
      </w:divBdr>
      <w:divsChild>
        <w:div w:id="1794323437">
          <w:marLeft w:val="0"/>
          <w:marRight w:val="0"/>
          <w:marTop w:val="0"/>
          <w:marBottom w:val="0"/>
          <w:divBdr>
            <w:top w:val="none" w:sz="0" w:space="0" w:color="auto"/>
            <w:left w:val="none" w:sz="0" w:space="0" w:color="auto"/>
            <w:bottom w:val="none" w:sz="0" w:space="0" w:color="auto"/>
            <w:right w:val="none" w:sz="0" w:space="0" w:color="auto"/>
          </w:divBdr>
          <w:divsChild>
            <w:div w:id="2035035335">
              <w:marLeft w:val="0"/>
              <w:marRight w:val="0"/>
              <w:marTop w:val="0"/>
              <w:marBottom w:val="0"/>
              <w:divBdr>
                <w:top w:val="none" w:sz="0" w:space="0" w:color="auto"/>
                <w:left w:val="none" w:sz="0" w:space="0" w:color="auto"/>
                <w:bottom w:val="none" w:sz="0" w:space="0" w:color="auto"/>
                <w:right w:val="none" w:sz="0" w:space="0" w:color="auto"/>
              </w:divBdr>
            </w:div>
          </w:divsChild>
        </w:div>
        <w:div w:id="882181182">
          <w:marLeft w:val="0"/>
          <w:marRight w:val="0"/>
          <w:marTop w:val="0"/>
          <w:marBottom w:val="0"/>
          <w:divBdr>
            <w:top w:val="single" w:sz="6" w:space="11" w:color="DBDBDB"/>
            <w:left w:val="none" w:sz="0" w:space="0" w:color="auto"/>
            <w:bottom w:val="none" w:sz="0" w:space="0" w:color="auto"/>
            <w:right w:val="none" w:sz="0" w:space="0" w:color="auto"/>
          </w:divBdr>
          <w:divsChild>
            <w:div w:id="1636258673">
              <w:marLeft w:val="0"/>
              <w:marRight w:val="0"/>
              <w:marTop w:val="0"/>
              <w:marBottom w:val="0"/>
              <w:divBdr>
                <w:top w:val="none" w:sz="0" w:space="0" w:color="auto"/>
                <w:left w:val="none" w:sz="0" w:space="0" w:color="auto"/>
                <w:bottom w:val="none" w:sz="0" w:space="0" w:color="auto"/>
                <w:right w:val="none" w:sz="0" w:space="0" w:color="auto"/>
              </w:divBdr>
            </w:div>
            <w:div w:id="675694925">
              <w:marLeft w:val="0"/>
              <w:marRight w:val="0"/>
              <w:marTop w:val="0"/>
              <w:marBottom w:val="0"/>
              <w:divBdr>
                <w:top w:val="none" w:sz="0" w:space="0" w:color="auto"/>
                <w:left w:val="none" w:sz="0" w:space="0" w:color="auto"/>
                <w:bottom w:val="none" w:sz="0" w:space="0" w:color="auto"/>
                <w:right w:val="none" w:sz="0" w:space="0" w:color="auto"/>
              </w:divBdr>
            </w:div>
            <w:div w:id="721563332">
              <w:marLeft w:val="0"/>
              <w:marRight w:val="0"/>
              <w:marTop w:val="75"/>
              <w:marBottom w:val="0"/>
              <w:divBdr>
                <w:top w:val="none" w:sz="0" w:space="0" w:color="auto"/>
                <w:left w:val="none" w:sz="0" w:space="0" w:color="auto"/>
                <w:bottom w:val="none" w:sz="0" w:space="0" w:color="auto"/>
                <w:right w:val="none" w:sz="0" w:space="0" w:color="auto"/>
              </w:divBdr>
            </w:div>
          </w:divsChild>
        </w:div>
        <w:div w:id="177812234">
          <w:marLeft w:val="0"/>
          <w:marRight w:val="0"/>
          <w:marTop w:val="0"/>
          <w:marBottom w:val="0"/>
          <w:divBdr>
            <w:top w:val="single" w:sz="6" w:space="11" w:color="DBDBDB"/>
            <w:left w:val="none" w:sz="0" w:space="0" w:color="auto"/>
            <w:bottom w:val="none" w:sz="0" w:space="0" w:color="auto"/>
            <w:right w:val="none" w:sz="0" w:space="0" w:color="auto"/>
          </w:divBdr>
          <w:divsChild>
            <w:div w:id="1504540923">
              <w:marLeft w:val="0"/>
              <w:marRight w:val="0"/>
              <w:marTop w:val="0"/>
              <w:marBottom w:val="0"/>
              <w:divBdr>
                <w:top w:val="none" w:sz="0" w:space="0" w:color="auto"/>
                <w:left w:val="none" w:sz="0" w:space="0" w:color="auto"/>
                <w:bottom w:val="none" w:sz="0" w:space="0" w:color="auto"/>
                <w:right w:val="none" w:sz="0" w:space="0" w:color="auto"/>
              </w:divBdr>
            </w:div>
            <w:div w:id="1489905774">
              <w:marLeft w:val="0"/>
              <w:marRight w:val="0"/>
              <w:marTop w:val="0"/>
              <w:marBottom w:val="0"/>
              <w:divBdr>
                <w:top w:val="none" w:sz="0" w:space="0" w:color="auto"/>
                <w:left w:val="none" w:sz="0" w:space="0" w:color="auto"/>
                <w:bottom w:val="none" w:sz="0" w:space="0" w:color="auto"/>
                <w:right w:val="none" w:sz="0" w:space="0" w:color="auto"/>
              </w:divBdr>
            </w:div>
            <w:div w:id="407967425">
              <w:marLeft w:val="0"/>
              <w:marRight w:val="0"/>
              <w:marTop w:val="75"/>
              <w:marBottom w:val="0"/>
              <w:divBdr>
                <w:top w:val="none" w:sz="0" w:space="0" w:color="auto"/>
                <w:left w:val="none" w:sz="0" w:space="0" w:color="auto"/>
                <w:bottom w:val="none" w:sz="0" w:space="0" w:color="auto"/>
                <w:right w:val="none" w:sz="0" w:space="0" w:color="auto"/>
              </w:divBdr>
            </w:div>
          </w:divsChild>
        </w:div>
        <w:div w:id="824980485">
          <w:marLeft w:val="0"/>
          <w:marRight w:val="0"/>
          <w:marTop w:val="0"/>
          <w:marBottom w:val="0"/>
          <w:divBdr>
            <w:top w:val="single" w:sz="6" w:space="11" w:color="DBDBDB"/>
            <w:left w:val="none" w:sz="0" w:space="0" w:color="auto"/>
            <w:bottom w:val="none" w:sz="0" w:space="0" w:color="auto"/>
            <w:right w:val="none" w:sz="0" w:space="0" w:color="auto"/>
          </w:divBdr>
          <w:divsChild>
            <w:div w:id="404373567">
              <w:marLeft w:val="0"/>
              <w:marRight w:val="0"/>
              <w:marTop w:val="0"/>
              <w:marBottom w:val="0"/>
              <w:divBdr>
                <w:top w:val="none" w:sz="0" w:space="0" w:color="auto"/>
                <w:left w:val="none" w:sz="0" w:space="0" w:color="auto"/>
                <w:bottom w:val="none" w:sz="0" w:space="0" w:color="auto"/>
                <w:right w:val="none" w:sz="0" w:space="0" w:color="auto"/>
              </w:divBdr>
            </w:div>
            <w:div w:id="1438522685">
              <w:marLeft w:val="0"/>
              <w:marRight w:val="0"/>
              <w:marTop w:val="0"/>
              <w:marBottom w:val="0"/>
              <w:divBdr>
                <w:top w:val="none" w:sz="0" w:space="0" w:color="auto"/>
                <w:left w:val="none" w:sz="0" w:space="0" w:color="auto"/>
                <w:bottom w:val="none" w:sz="0" w:space="0" w:color="auto"/>
                <w:right w:val="none" w:sz="0" w:space="0" w:color="auto"/>
              </w:divBdr>
            </w:div>
            <w:div w:id="846363981">
              <w:marLeft w:val="0"/>
              <w:marRight w:val="0"/>
              <w:marTop w:val="75"/>
              <w:marBottom w:val="0"/>
              <w:divBdr>
                <w:top w:val="none" w:sz="0" w:space="0" w:color="auto"/>
                <w:left w:val="none" w:sz="0" w:space="0" w:color="auto"/>
                <w:bottom w:val="none" w:sz="0" w:space="0" w:color="auto"/>
                <w:right w:val="none" w:sz="0" w:space="0" w:color="auto"/>
              </w:divBdr>
            </w:div>
          </w:divsChild>
        </w:div>
        <w:div w:id="957680203">
          <w:marLeft w:val="0"/>
          <w:marRight w:val="0"/>
          <w:marTop w:val="0"/>
          <w:marBottom w:val="0"/>
          <w:divBdr>
            <w:top w:val="single" w:sz="6" w:space="11" w:color="DBDBDB"/>
            <w:left w:val="none" w:sz="0" w:space="0" w:color="auto"/>
            <w:bottom w:val="none" w:sz="0" w:space="0" w:color="auto"/>
            <w:right w:val="none" w:sz="0" w:space="0" w:color="auto"/>
          </w:divBdr>
          <w:divsChild>
            <w:div w:id="1146823873">
              <w:marLeft w:val="0"/>
              <w:marRight w:val="0"/>
              <w:marTop w:val="0"/>
              <w:marBottom w:val="0"/>
              <w:divBdr>
                <w:top w:val="none" w:sz="0" w:space="0" w:color="auto"/>
                <w:left w:val="none" w:sz="0" w:space="0" w:color="auto"/>
                <w:bottom w:val="none" w:sz="0" w:space="0" w:color="auto"/>
                <w:right w:val="none" w:sz="0" w:space="0" w:color="auto"/>
              </w:divBdr>
            </w:div>
            <w:div w:id="92746463">
              <w:marLeft w:val="0"/>
              <w:marRight w:val="0"/>
              <w:marTop w:val="0"/>
              <w:marBottom w:val="0"/>
              <w:divBdr>
                <w:top w:val="none" w:sz="0" w:space="0" w:color="auto"/>
                <w:left w:val="none" w:sz="0" w:space="0" w:color="auto"/>
                <w:bottom w:val="none" w:sz="0" w:space="0" w:color="auto"/>
                <w:right w:val="none" w:sz="0" w:space="0" w:color="auto"/>
              </w:divBdr>
            </w:div>
            <w:div w:id="964627081">
              <w:marLeft w:val="0"/>
              <w:marRight w:val="0"/>
              <w:marTop w:val="75"/>
              <w:marBottom w:val="0"/>
              <w:divBdr>
                <w:top w:val="none" w:sz="0" w:space="0" w:color="auto"/>
                <w:left w:val="none" w:sz="0" w:space="0" w:color="auto"/>
                <w:bottom w:val="none" w:sz="0" w:space="0" w:color="auto"/>
                <w:right w:val="none" w:sz="0" w:space="0" w:color="auto"/>
              </w:divBdr>
            </w:div>
          </w:divsChild>
        </w:div>
        <w:div w:id="2122873759">
          <w:marLeft w:val="0"/>
          <w:marRight w:val="0"/>
          <w:marTop w:val="0"/>
          <w:marBottom w:val="0"/>
          <w:divBdr>
            <w:top w:val="single" w:sz="6" w:space="11" w:color="DBDBDB"/>
            <w:left w:val="none" w:sz="0" w:space="0" w:color="auto"/>
            <w:bottom w:val="none" w:sz="0" w:space="0" w:color="auto"/>
            <w:right w:val="none" w:sz="0" w:space="0" w:color="auto"/>
          </w:divBdr>
          <w:divsChild>
            <w:div w:id="1843472625">
              <w:marLeft w:val="0"/>
              <w:marRight w:val="0"/>
              <w:marTop w:val="0"/>
              <w:marBottom w:val="0"/>
              <w:divBdr>
                <w:top w:val="none" w:sz="0" w:space="0" w:color="auto"/>
                <w:left w:val="none" w:sz="0" w:space="0" w:color="auto"/>
                <w:bottom w:val="none" w:sz="0" w:space="0" w:color="auto"/>
                <w:right w:val="none" w:sz="0" w:space="0" w:color="auto"/>
              </w:divBdr>
            </w:div>
            <w:div w:id="1036000849">
              <w:marLeft w:val="0"/>
              <w:marRight w:val="0"/>
              <w:marTop w:val="0"/>
              <w:marBottom w:val="0"/>
              <w:divBdr>
                <w:top w:val="none" w:sz="0" w:space="0" w:color="auto"/>
                <w:left w:val="none" w:sz="0" w:space="0" w:color="auto"/>
                <w:bottom w:val="none" w:sz="0" w:space="0" w:color="auto"/>
                <w:right w:val="none" w:sz="0" w:space="0" w:color="auto"/>
              </w:divBdr>
            </w:div>
            <w:div w:id="236407900">
              <w:marLeft w:val="0"/>
              <w:marRight w:val="0"/>
              <w:marTop w:val="75"/>
              <w:marBottom w:val="0"/>
              <w:divBdr>
                <w:top w:val="none" w:sz="0" w:space="0" w:color="auto"/>
                <w:left w:val="none" w:sz="0" w:space="0" w:color="auto"/>
                <w:bottom w:val="none" w:sz="0" w:space="0" w:color="auto"/>
                <w:right w:val="none" w:sz="0" w:space="0" w:color="auto"/>
              </w:divBdr>
            </w:div>
          </w:divsChild>
        </w:div>
        <w:div w:id="1855217850">
          <w:marLeft w:val="0"/>
          <w:marRight w:val="0"/>
          <w:marTop w:val="0"/>
          <w:marBottom w:val="0"/>
          <w:divBdr>
            <w:top w:val="single" w:sz="6" w:space="11" w:color="DBDBDB"/>
            <w:left w:val="none" w:sz="0" w:space="0" w:color="auto"/>
            <w:bottom w:val="none" w:sz="0" w:space="0" w:color="auto"/>
            <w:right w:val="none" w:sz="0" w:space="0" w:color="auto"/>
          </w:divBdr>
          <w:divsChild>
            <w:div w:id="571357087">
              <w:marLeft w:val="0"/>
              <w:marRight w:val="0"/>
              <w:marTop w:val="0"/>
              <w:marBottom w:val="0"/>
              <w:divBdr>
                <w:top w:val="none" w:sz="0" w:space="0" w:color="auto"/>
                <w:left w:val="none" w:sz="0" w:space="0" w:color="auto"/>
                <w:bottom w:val="none" w:sz="0" w:space="0" w:color="auto"/>
                <w:right w:val="none" w:sz="0" w:space="0" w:color="auto"/>
              </w:divBdr>
            </w:div>
            <w:div w:id="1978413885">
              <w:marLeft w:val="0"/>
              <w:marRight w:val="0"/>
              <w:marTop w:val="0"/>
              <w:marBottom w:val="0"/>
              <w:divBdr>
                <w:top w:val="none" w:sz="0" w:space="0" w:color="auto"/>
                <w:left w:val="none" w:sz="0" w:space="0" w:color="auto"/>
                <w:bottom w:val="none" w:sz="0" w:space="0" w:color="auto"/>
                <w:right w:val="none" w:sz="0" w:space="0" w:color="auto"/>
              </w:divBdr>
            </w:div>
            <w:div w:id="899631495">
              <w:marLeft w:val="0"/>
              <w:marRight w:val="0"/>
              <w:marTop w:val="75"/>
              <w:marBottom w:val="0"/>
              <w:divBdr>
                <w:top w:val="none" w:sz="0" w:space="0" w:color="auto"/>
                <w:left w:val="none" w:sz="0" w:space="0" w:color="auto"/>
                <w:bottom w:val="none" w:sz="0" w:space="0" w:color="auto"/>
                <w:right w:val="none" w:sz="0" w:space="0" w:color="auto"/>
              </w:divBdr>
            </w:div>
          </w:divsChild>
        </w:div>
        <w:div w:id="1440954249">
          <w:marLeft w:val="0"/>
          <w:marRight w:val="0"/>
          <w:marTop w:val="0"/>
          <w:marBottom w:val="0"/>
          <w:divBdr>
            <w:top w:val="single" w:sz="6" w:space="11" w:color="DBDBDB"/>
            <w:left w:val="none" w:sz="0" w:space="0" w:color="auto"/>
            <w:bottom w:val="none" w:sz="0" w:space="0" w:color="auto"/>
            <w:right w:val="none" w:sz="0" w:space="0" w:color="auto"/>
          </w:divBdr>
          <w:divsChild>
            <w:div w:id="1727944869">
              <w:marLeft w:val="0"/>
              <w:marRight w:val="0"/>
              <w:marTop w:val="0"/>
              <w:marBottom w:val="0"/>
              <w:divBdr>
                <w:top w:val="none" w:sz="0" w:space="0" w:color="auto"/>
                <w:left w:val="none" w:sz="0" w:space="0" w:color="auto"/>
                <w:bottom w:val="none" w:sz="0" w:space="0" w:color="auto"/>
                <w:right w:val="none" w:sz="0" w:space="0" w:color="auto"/>
              </w:divBdr>
            </w:div>
            <w:div w:id="1276598599">
              <w:marLeft w:val="0"/>
              <w:marRight w:val="0"/>
              <w:marTop w:val="0"/>
              <w:marBottom w:val="0"/>
              <w:divBdr>
                <w:top w:val="none" w:sz="0" w:space="0" w:color="auto"/>
                <w:left w:val="none" w:sz="0" w:space="0" w:color="auto"/>
                <w:bottom w:val="none" w:sz="0" w:space="0" w:color="auto"/>
                <w:right w:val="none" w:sz="0" w:space="0" w:color="auto"/>
              </w:divBdr>
            </w:div>
            <w:div w:id="277571673">
              <w:marLeft w:val="0"/>
              <w:marRight w:val="0"/>
              <w:marTop w:val="75"/>
              <w:marBottom w:val="0"/>
              <w:divBdr>
                <w:top w:val="none" w:sz="0" w:space="0" w:color="auto"/>
                <w:left w:val="none" w:sz="0" w:space="0" w:color="auto"/>
                <w:bottom w:val="none" w:sz="0" w:space="0" w:color="auto"/>
                <w:right w:val="none" w:sz="0" w:space="0" w:color="auto"/>
              </w:divBdr>
            </w:div>
          </w:divsChild>
        </w:div>
        <w:div w:id="1354721509">
          <w:marLeft w:val="0"/>
          <w:marRight w:val="0"/>
          <w:marTop w:val="0"/>
          <w:marBottom w:val="0"/>
          <w:divBdr>
            <w:top w:val="single" w:sz="6" w:space="11" w:color="DBDBDB"/>
            <w:left w:val="none" w:sz="0" w:space="0" w:color="auto"/>
            <w:bottom w:val="none" w:sz="0" w:space="0" w:color="auto"/>
            <w:right w:val="none" w:sz="0" w:space="0" w:color="auto"/>
          </w:divBdr>
          <w:divsChild>
            <w:div w:id="371416841">
              <w:marLeft w:val="0"/>
              <w:marRight w:val="0"/>
              <w:marTop w:val="0"/>
              <w:marBottom w:val="0"/>
              <w:divBdr>
                <w:top w:val="none" w:sz="0" w:space="0" w:color="auto"/>
                <w:left w:val="none" w:sz="0" w:space="0" w:color="auto"/>
                <w:bottom w:val="none" w:sz="0" w:space="0" w:color="auto"/>
                <w:right w:val="none" w:sz="0" w:space="0" w:color="auto"/>
              </w:divBdr>
            </w:div>
            <w:div w:id="59406237">
              <w:marLeft w:val="0"/>
              <w:marRight w:val="0"/>
              <w:marTop w:val="0"/>
              <w:marBottom w:val="0"/>
              <w:divBdr>
                <w:top w:val="none" w:sz="0" w:space="0" w:color="auto"/>
                <w:left w:val="none" w:sz="0" w:space="0" w:color="auto"/>
                <w:bottom w:val="none" w:sz="0" w:space="0" w:color="auto"/>
                <w:right w:val="none" w:sz="0" w:space="0" w:color="auto"/>
              </w:divBdr>
            </w:div>
            <w:div w:id="1816071281">
              <w:marLeft w:val="0"/>
              <w:marRight w:val="0"/>
              <w:marTop w:val="75"/>
              <w:marBottom w:val="0"/>
              <w:divBdr>
                <w:top w:val="none" w:sz="0" w:space="0" w:color="auto"/>
                <w:left w:val="none" w:sz="0" w:space="0" w:color="auto"/>
                <w:bottom w:val="none" w:sz="0" w:space="0" w:color="auto"/>
                <w:right w:val="none" w:sz="0" w:space="0" w:color="auto"/>
              </w:divBdr>
            </w:div>
          </w:divsChild>
        </w:div>
        <w:div w:id="1972007867">
          <w:marLeft w:val="0"/>
          <w:marRight w:val="0"/>
          <w:marTop w:val="0"/>
          <w:marBottom w:val="0"/>
          <w:divBdr>
            <w:top w:val="single" w:sz="6" w:space="11" w:color="DBDBDB"/>
            <w:left w:val="none" w:sz="0" w:space="0" w:color="auto"/>
            <w:bottom w:val="none" w:sz="0" w:space="0" w:color="auto"/>
            <w:right w:val="none" w:sz="0" w:space="0" w:color="auto"/>
          </w:divBdr>
          <w:divsChild>
            <w:div w:id="1364862227">
              <w:marLeft w:val="0"/>
              <w:marRight w:val="0"/>
              <w:marTop w:val="0"/>
              <w:marBottom w:val="0"/>
              <w:divBdr>
                <w:top w:val="none" w:sz="0" w:space="0" w:color="auto"/>
                <w:left w:val="none" w:sz="0" w:space="0" w:color="auto"/>
                <w:bottom w:val="none" w:sz="0" w:space="0" w:color="auto"/>
                <w:right w:val="none" w:sz="0" w:space="0" w:color="auto"/>
              </w:divBdr>
            </w:div>
            <w:div w:id="1237595123">
              <w:marLeft w:val="0"/>
              <w:marRight w:val="0"/>
              <w:marTop w:val="0"/>
              <w:marBottom w:val="0"/>
              <w:divBdr>
                <w:top w:val="none" w:sz="0" w:space="0" w:color="auto"/>
                <w:left w:val="none" w:sz="0" w:space="0" w:color="auto"/>
                <w:bottom w:val="none" w:sz="0" w:space="0" w:color="auto"/>
                <w:right w:val="none" w:sz="0" w:space="0" w:color="auto"/>
              </w:divBdr>
            </w:div>
            <w:div w:id="315913310">
              <w:marLeft w:val="0"/>
              <w:marRight w:val="0"/>
              <w:marTop w:val="75"/>
              <w:marBottom w:val="0"/>
              <w:divBdr>
                <w:top w:val="none" w:sz="0" w:space="0" w:color="auto"/>
                <w:left w:val="none" w:sz="0" w:space="0" w:color="auto"/>
                <w:bottom w:val="none" w:sz="0" w:space="0" w:color="auto"/>
                <w:right w:val="none" w:sz="0" w:space="0" w:color="auto"/>
              </w:divBdr>
            </w:div>
          </w:divsChild>
        </w:div>
        <w:div w:id="1365135100">
          <w:marLeft w:val="0"/>
          <w:marRight w:val="0"/>
          <w:marTop w:val="0"/>
          <w:marBottom w:val="0"/>
          <w:divBdr>
            <w:top w:val="single" w:sz="6" w:space="11" w:color="DBDBDB"/>
            <w:left w:val="none" w:sz="0" w:space="0" w:color="auto"/>
            <w:bottom w:val="none" w:sz="0" w:space="0" w:color="auto"/>
            <w:right w:val="none" w:sz="0" w:space="0" w:color="auto"/>
          </w:divBdr>
          <w:divsChild>
            <w:div w:id="66002063">
              <w:marLeft w:val="0"/>
              <w:marRight w:val="0"/>
              <w:marTop w:val="0"/>
              <w:marBottom w:val="0"/>
              <w:divBdr>
                <w:top w:val="none" w:sz="0" w:space="0" w:color="auto"/>
                <w:left w:val="none" w:sz="0" w:space="0" w:color="auto"/>
                <w:bottom w:val="none" w:sz="0" w:space="0" w:color="auto"/>
                <w:right w:val="none" w:sz="0" w:space="0" w:color="auto"/>
              </w:divBdr>
            </w:div>
            <w:div w:id="5424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24041557" TargetMode="External"/><Relationship Id="rId13" Type="http://schemas.openxmlformats.org/officeDocument/2006/relationships/hyperlink" Target="https://www.legifrance.gouv.fr/codes/article_lc/LEGIARTI000006445613" TargetMode="External"/><Relationship Id="rId18" Type="http://schemas.openxmlformats.org/officeDocument/2006/relationships/hyperlink" Target="https://www.legifrance.gouv.fr/loda/id/LEGIARTI000033423938/2016-11-20/" TargetMode="External"/><Relationship Id="rId3" Type="http://schemas.openxmlformats.org/officeDocument/2006/relationships/settings" Target="settings.xml"/><Relationship Id="rId7" Type="http://schemas.openxmlformats.org/officeDocument/2006/relationships/hyperlink" Target="https://www.legifrance.gouv.fr/loda/id/LEGIARTI000033423938/2016-11-20/" TargetMode="External"/><Relationship Id="rId12" Type="http://schemas.openxmlformats.org/officeDocument/2006/relationships/hyperlink" Target="https://www.legifrance.gouv.fr/codes/article_lc/LEGIARTI000006445611" TargetMode="External"/><Relationship Id="rId17" Type="http://schemas.openxmlformats.org/officeDocument/2006/relationships/hyperlink" Target="https://www.legifrance.gouv.fr/codes/article_lc/LEGIARTI000033458761" TargetMode="External"/><Relationship Id="rId2" Type="http://schemas.openxmlformats.org/officeDocument/2006/relationships/styles" Target="styles.xml"/><Relationship Id="rId16" Type="http://schemas.openxmlformats.org/officeDocument/2006/relationships/hyperlink" Target="https://www.legifrance.gouv.fr/codes/article_lc/LEGIARTI0000064456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egifrance.gouv.fr/codes/article_lc/LEGIARTI000033458766" TargetMode="External"/><Relationship Id="rId11" Type="http://schemas.openxmlformats.org/officeDocument/2006/relationships/hyperlink" Target="https://www.legifrance.gouv.fr/affichCodeArticle.do?cidTexte=LEGITEXT000006070721&amp;idArticle=LEGIARTI000006427804&amp;dateTexte=&amp;categorieLien=cid" TargetMode="External"/><Relationship Id="rId5" Type="http://schemas.openxmlformats.org/officeDocument/2006/relationships/hyperlink" Target="https://www.legifrance.gouv.fr/codes/section_lc/LEGITEXT000006070721/LEGISCTA000006118164/" TargetMode="External"/><Relationship Id="rId15" Type="http://schemas.openxmlformats.org/officeDocument/2006/relationships/hyperlink" Target="https://www.legifrance.gouv.fr/codes/article_lc/LEGIARTI000006445617" TargetMode="External"/><Relationship Id="rId10" Type="http://schemas.openxmlformats.org/officeDocument/2006/relationships/hyperlink" Target="https://www.legifrance.gouv.fr/affichCodeArticle.do?cidTexte=LEGITEXT000006070721&amp;idArticle=LEGIARTI000006427796&amp;dateTexte=&amp;categorieLien=c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loda/id/LEGIARTI000024023398/2011-05-19/" TargetMode="External"/><Relationship Id="rId14" Type="http://schemas.openxmlformats.org/officeDocument/2006/relationships/hyperlink" Target="https://www.legifrance.gouv.fr/codes/article_lc/LEGIARTI0000064456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3149</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Grimaldi</dc:creator>
  <cp:keywords/>
  <dc:description/>
  <cp:lastModifiedBy>Karine Grimaldi</cp:lastModifiedBy>
  <cp:revision>1</cp:revision>
  <dcterms:created xsi:type="dcterms:W3CDTF">2022-04-11T15:14:00Z</dcterms:created>
  <dcterms:modified xsi:type="dcterms:W3CDTF">2022-04-11T15:16:00Z</dcterms:modified>
</cp:coreProperties>
</file>